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 D'ACOMPTE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19/06/2026 (7 jours)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Ref. : Devis DEV-2026-00001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MARCHE CONCERNE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[Intitule du chantier / mission]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Montant total TTC du marche : 6 000,00 EUR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Dont acompte de 30% a la signature du devis : 1 800,00 EUR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Acompte 30% — [Intitule du marche]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Conformement au devis DEV-2026-00001 du 01/06/2026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 acompte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1 500,00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20%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300,00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Acompte TTC a regler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1 800,00 EUR</w:t>
            </w:r>
          </w:p>
        </w:tc>
      </w:tr>
    </w:tbl>
    <w:p>
      <w:pPr>
        <w:spacing w:after="80"/>
        <w:jc w:val="right"/>
      </w:pPr>
      <w:r>
        <w:rPr>
          <w:rFonts w:ascii="Calibri" w:cs="Calibri" w:eastAsia="Calibri" w:hAnsi="Calibri"/>
          <w:i/>
          <w:iCs/>
          <w:color w:val="71717A"/>
          <w:sz w:val="15"/>
          <w:szCs w:val="15"/>
        </w:rPr>
        <w:t xml:space="preserve">Cet acompte sera deduit de la facture finale de solde.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7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Facture d'acompte emise conformement a l'article 289 c du Code general des impots. Elle ne constitue pas la facture definitive — une facture de solde sera emise a l'issue de la prestation. En cas de retard de paiement, application de penalites au taux de 3 fois le taux d'interet legal (art. L.441-10 du Code de commerce) et indemnite forfaitaire pour frais de recouvrement de 40 EUR (art. D.441-5 du Code de commerce).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d'acompte</dc:title>
  <dc:subject>Modele de facture d'acompte (CGI art. 289 c)</dc:subject>
  <dc:creator>Billies</dc:creator>
  <cp:lastModifiedBy>Un-named</cp:lastModifiedBy>
  <cp:revision>1</cp:revision>
  <dcterms:created xsi:type="dcterms:W3CDTF">2026-09-03T21:36:57.812Z</dcterms:created>
  <dcterms:modified xsi:type="dcterms:W3CDTF">2026-09-03T21:36:57.812Z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