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2 000,00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400,00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2 400,00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En cas de retard de paiement, application de penalites au taux de 3 fois le taux d'interet legal en vigueur (art. L.441-10 du Code de commerce) et indemnite forfaitaire pour frais de recouvrement de 40 EUR par facture impayee (art. D.441-5 du Code de commerce). Si les frais reels de recouvrement excedent 40 EUR, le crediteur peut reclamer le complement sur justificatifs.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avec TVA</dc:title>
  <dc:subject>Modele de facture assujettie a la TVA</dc:subject>
  <dc:creator>Billies</dc:creator>
  <cp:lastModifiedBy>Un-named</cp:lastModifiedBy>
  <cp:revision>1</cp:revision>
  <dcterms:created xsi:type="dcterms:W3CDTF">2026-07-05T20:55:17.518Z</dcterms:created>
  <dcterms:modified xsi:type="dcterms:W3CDTF">2026-07-05T20:55:17.519Z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